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54F4B" w:rsidRDefault="00F92268" w:rsidP="00796552">
      <w:pPr>
        <w:pStyle w:val="BodyText"/>
        <w:spacing w:after="0"/>
        <w:rPr>
          <w:sz w:val="6"/>
          <w:szCs w:val="6"/>
        </w:rPr>
      </w:pPr>
      <w:r w:rsidRPr="00E54F4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54F4B"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54F4B" w:rsidRDefault="00F92268" w:rsidP="00F246C7">
            <w:pPr>
              <w:pStyle w:val="RefTableData"/>
            </w:pPr>
            <w:r w:rsidRPr="00E54F4B">
              <w:t>Reference number(s)</w:t>
            </w:r>
          </w:p>
        </w:tc>
      </w:tr>
      <w:tr w:rsidR="00F92268" w:rsidRPr="00E54F4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7AA8DF4" w:rsidR="00F92268" w:rsidRPr="00E54F4B" w:rsidRDefault="00ED02E8" w:rsidP="00F246C7">
            <w:pPr>
              <w:pStyle w:val="RefTableHeader"/>
            </w:pPr>
            <w:r w:rsidRPr="00E54F4B">
              <w:t>2123-A</w:t>
            </w:r>
          </w:p>
        </w:tc>
      </w:tr>
    </w:tbl>
    <w:p w14:paraId="74FBA5B4" w14:textId="77777777" w:rsidR="00051356" w:rsidRPr="00E54F4B" w:rsidRDefault="00051356" w:rsidP="00796552">
      <w:pPr>
        <w:pStyle w:val="BodyText"/>
        <w:spacing w:after="0"/>
        <w:rPr>
          <w:b/>
          <w:bCs/>
          <w:sz w:val="16"/>
          <w:szCs w:val="16"/>
        </w:rPr>
        <w:sectPr w:rsidR="00051356" w:rsidRPr="00E54F4B"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1D6D14A7" w:rsidR="00041200" w:rsidRPr="00E54F4B" w:rsidRDefault="00191764" w:rsidP="00191764">
      <w:pPr>
        <w:pStyle w:val="Heading1"/>
      </w:pPr>
      <w:r w:rsidRPr="00E54F4B">
        <w:t>Specialty Guideline Management</w:t>
      </w:r>
      <w:r w:rsidRPr="00E54F4B">
        <w:br/>
        <w:t>Ravicti</w:t>
      </w:r>
    </w:p>
    <w:p w14:paraId="78861C92" w14:textId="627EA1BC" w:rsidR="00203468" w:rsidRPr="00E54F4B" w:rsidRDefault="00C64534" w:rsidP="008E0F0D">
      <w:pPr>
        <w:pStyle w:val="Heading2"/>
      </w:pPr>
      <w:r w:rsidRPr="00E54F4B">
        <w:t xml:space="preserve">Products Referenced by this </w:t>
      </w:r>
      <w:r w:rsidR="00501602" w:rsidRPr="00E54F4B">
        <w:t>Document</w:t>
      </w:r>
    </w:p>
    <w:p w14:paraId="07868740" w14:textId="0BC0E398" w:rsidR="00725714" w:rsidRPr="00E54F4B" w:rsidRDefault="00D82D85" w:rsidP="00191764">
      <w:pPr>
        <w:pStyle w:val="BodyText"/>
      </w:pPr>
      <w:r w:rsidRPr="00E54F4B">
        <w:t xml:space="preserve">Drugs that are listed in the </w:t>
      </w:r>
      <w:r w:rsidR="000315F1" w:rsidRPr="00E54F4B">
        <w:t>following table</w:t>
      </w:r>
      <w:r w:rsidRPr="00E54F4B">
        <w:t xml:space="preserve"> include both brand and generic and all dosage forms and strengths unless otherwise stated. </w:t>
      </w:r>
      <w:r w:rsidR="00241342">
        <w:t>Over-the-counter (</w:t>
      </w:r>
      <w:r w:rsidRPr="00E54F4B">
        <w:t>OTC</w:t>
      </w:r>
      <w:r w:rsidR="00241342">
        <w:t>)</w:t>
      </w:r>
      <w:r w:rsidRPr="00E54F4B">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5B4D7C" w:rsidRPr="00E54F4B" w14:paraId="057AAA89" w14:textId="77777777" w:rsidTr="00145B12">
        <w:trPr>
          <w:cantSplit/>
          <w:trHeight w:val="288"/>
          <w:tblHeader/>
        </w:trPr>
        <w:tc>
          <w:tcPr>
            <w:tcW w:w="5385" w:type="dxa"/>
            <w:vAlign w:val="center"/>
          </w:tcPr>
          <w:p w14:paraId="6CBFE1BD" w14:textId="77777777" w:rsidR="005B4D7C" w:rsidRPr="00E54F4B" w:rsidRDefault="005B4D7C">
            <w:pPr>
              <w:pStyle w:val="TableHeader"/>
            </w:pPr>
            <w:r w:rsidRPr="00E54F4B">
              <w:t>Brand Name</w:t>
            </w:r>
          </w:p>
        </w:tc>
        <w:tc>
          <w:tcPr>
            <w:tcW w:w="5385" w:type="dxa"/>
            <w:vAlign w:val="center"/>
          </w:tcPr>
          <w:p w14:paraId="18440B85" w14:textId="77777777" w:rsidR="005B4D7C" w:rsidRPr="00E54F4B" w:rsidRDefault="005B4D7C">
            <w:pPr>
              <w:pStyle w:val="TableHeader"/>
            </w:pPr>
            <w:r w:rsidRPr="00E54F4B">
              <w:t>Generic Name</w:t>
            </w:r>
          </w:p>
        </w:tc>
      </w:tr>
      <w:tr w:rsidR="005B4D7C" w:rsidRPr="00E54F4B" w14:paraId="7742B1EC" w14:textId="77777777" w:rsidTr="00145B12">
        <w:trPr>
          <w:cantSplit/>
        </w:trPr>
        <w:tc>
          <w:tcPr>
            <w:tcW w:w="5385" w:type="dxa"/>
          </w:tcPr>
          <w:p w14:paraId="4DED0C9B" w14:textId="1E4BEEB7" w:rsidR="005B4D7C" w:rsidRPr="00E54F4B" w:rsidRDefault="00191764">
            <w:pPr>
              <w:pStyle w:val="TableDataUnpadded"/>
            </w:pPr>
            <w:r w:rsidRPr="00E54F4B">
              <w:t>Ravicti</w:t>
            </w:r>
          </w:p>
        </w:tc>
        <w:tc>
          <w:tcPr>
            <w:tcW w:w="5385" w:type="dxa"/>
          </w:tcPr>
          <w:p w14:paraId="1A09710D" w14:textId="4AE666D0" w:rsidR="005B4D7C" w:rsidRPr="00E54F4B" w:rsidRDefault="00191764">
            <w:pPr>
              <w:pStyle w:val="TableDataUnpadded"/>
            </w:pPr>
            <w:r w:rsidRPr="00E54F4B">
              <w:t>glycerol phenylbutyrate</w:t>
            </w:r>
          </w:p>
        </w:tc>
      </w:tr>
    </w:tbl>
    <w:p w14:paraId="14CE6108" w14:textId="2F0F8B14" w:rsidR="00FC1AAD" w:rsidRPr="00E54F4B" w:rsidRDefault="00ED052F" w:rsidP="00AA2A94">
      <w:pPr>
        <w:pStyle w:val="Heading2"/>
        <w:tabs>
          <w:tab w:val="left" w:pos="9540"/>
        </w:tabs>
      </w:pPr>
      <w:r w:rsidRPr="00E54F4B">
        <w:t>Indications</w:t>
      </w:r>
    </w:p>
    <w:p w14:paraId="2D5A2647" w14:textId="4AC56291" w:rsidR="00191764" w:rsidRPr="00E54F4B" w:rsidRDefault="00191764" w:rsidP="00191764">
      <w:pPr>
        <w:pStyle w:val="BodyText"/>
      </w:pPr>
      <w:r w:rsidRPr="00E54F4B">
        <w:t>The indications below including FDA-approved indications and compendial uses are considered a covered benefit provided that all the approval criteria are met and the member has no exclusions to the prescribed therapy.</w:t>
      </w:r>
    </w:p>
    <w:p w14:paraId="134B5687" w14:textId="025759AF" w:rsidR="00ED052F" w:rsidRPr="00E54F4B" w:rsidRDefault="00ED052F" w:rsidP="00ED052F">
      <w:pPr>
        <w:pStyle w:val="Heading3"/>
        <w:keepNext w:val="0"/>
      </w:pPr>
      <w:r w:rsidRPr="00E54F4B">
        <w:t>FDA-</w:t>
      </w:r>
      <w:r w:rsidR="00241342">
        <w:t>a</w:t>
      </w:r>
      <w:r w:rsidR="00241342" w:rsidRPr="00E54F4B">
        <w:t xml:space="preserve">pproved </w:t>
      </w:r>
      <w:r w:rsidRPr="00E54F4B">
        <w:t>Indications</w:t>
      </w:r>
      <w:r w:rsidR="00191764" w:rsidRPr="00E54F4B">
        <w:rPr>
          <w:vertAlign w:val="superscript"/>
        </w:rPr>
        <w:t>1</w:t>
      </w:r>
    </w:p>
    <w:p w14:paraId="61755C4E" w14:textId="1C3BC8B1" w:rsidR="00191764" w:rsidRPr="00E54F4B" w:rsidRDefault="00191764" w:rsidP="00191764">
      <w:pPr>
        <w:pStyle w:val="BodyText"/>
      </w:pPr>
      <w:r>
        <w:t xml:space="preserve">Ravicti is indicated for </w:t>
      </w:r>
      <w:r w:rsidR="00004D49">
        <w:t xml:space="preserve">use as a nitrogen-binding agent for </w:t>
      </w:r>
      <w:r>
        <w:t>chronic management of patients with urea cycle disorders (UCDs) who cannot be managed by dietary protein restriction and/or amino acid supplementation alone. Ravicti must be used with dietary protein restriction and, in some cases, dietary supplements.</w:t>
      </w:r>
    </w:p>
    <w:p w14:paraId="6E63029C" w14:textId="62DBD7EA" w:rsidR="00191764" w:rsidRPr="00E54F4B" w:rsidRDefault="00191764" w:rsidP="00191764">
      <w:pPr>
        <w:pStyle w:val="Heading4"/>
      </w:pPr>
      <w:r w:rsidRPr="00E54F4B">
        <w:t>Limitations of Use</w:t>
      </w:r>
    </w:p>
    <w:p w14:paraId="6768188D" w14:textId="41441DCA" w:rsidR="00191764" w:rsidRPr="00E54F4B" w:rsidRDefault="00191764" w:rsidP="00191764">
      <w:pPr>
        <w:pStyle w:val="ListParagraph"/>
      </w:pPr>
      <w:r w:rsidRPr="00E54F4B">
        <w:t>Ravicti is not indicated for treatment of acute hyperammonemia in patients with UCDs.</w:t>
      </w:r>
    </w:p>
    <w:p w14:paraId="75023423" w14:textId="1C16A00D" w:rsidR="00191764" w:rsidRPr="00E54F4B" w:rsidRDefault="00191764" w:rsidP="002E5547">
      <w:pPr>
        <w:pStyle w:val="ListParagraph"/>
        <w:spacing w:after="120"/>
      </w:pPr>
      <w:r w:rsidRPr="00E54F4B">
        <w:t>Safety and efficacy for treatment of N-</w:t>
      </w:r>
      <w:proofErr w:type="spellStart"/>
      <w:r w:rsidRPr="00E54F4B">
        <w:t>acetylglutamate</w:t>
      </w:r>
      <w:proofErr w:type="spellEnd"/>
      <w:r w:rsidRPr="00E54F4B">
        <w:t xml:space="preserve"> synthase (NAGS) deficiency has not been established.</w:t>
      </w:r>
    </w:p>
    <w:p w14:paraId="4C434745" w14:textId="70970BB0" w:rsidR="00ED052F" w:rsidRPr="00E54F4B" w:rsidRDefault="00191764" w:rsidP="00796552">
      <w:pPr>
        <w:pStyle w:val="BodyText"/>
        <w:spacing w:after="0"/>
      </w:pPr>
      <w:r w:rsidRPr="00E54F4B">
        <w:t>All other indications are considered experimental/investigational and not medically necessary.</w:t>
      </w:r>
    </w:p>
    <w:p w14:paraId="36381B6D" w14:textId="6C1832C3" w:rsidR="000D2496" w:rsidRPr="00E54F4B" w:rsidRDefault="000D2496" w:rsidP="00796552">
      <w:pPr>
        <w:pStyle w:val="Heading2"/>
        <w:keepNext w:val="0"/>
        <w:widowControl w:val="0"/>
      </w:pPr>
      <w:r w:rsidRPr="00E54F4B">
        <w:t>Documentation</w:t>
      </w:r>
    </w:p>
    <w:p w14:paraId="4516EFCD" w14:textId="77777777" w:rsidR="00191764" w:rsidRPr="00E54F4B" w:rsidRDefault="00191764" w:rsidP="00796552">
      <w:pPr>
        <w:pStyle w:val="BodyText"/>
        <w:widowControl w:val="0"/>
      </w:pPr>
      <w:r w:rsidRPr="00E54F4B">
        <w:lastRenderedPageBreak/>
        <w:t>Submission of the following information is necessary to initiate the prior authorization review:</w:t>
      </w:r>
    </w:p>
    <w:p w14:paraId="1BFA5E45" w14:textId="776058C7" w:rsidR="00191764" w:rsidRPr="00E54F4B" w:rsidRDefault="00191764" w:rsidP="00E54F4B">
      <w:pPr>
        <w:pStyle w:val="ListParagraph"/>
        <w:numPr>
          <w:ilvl w:val="0"/>
          <w:numId w:val="32"/>
        </w:numPr>
      </w:pPr>
      <w:r w:rsidRPr="00E54F4B">
        <w:t>Initial Requests:</w:t>
      </w:r>
    </w:p>
    <w:p w14:paraId="6EFF4BE3" w14:textId="463AB777" w:rsidR="00191764" w:rsidRPr="00E54F4B" w:rsidRDefault="00191764" w:rsidP="00E54F4B">
      <w:pPr>
        <w:pStyle w:val="ListParagraph"/>
        <w:numPr>
          <w:ilvl w:val="1"/>
          <w:numId w:val="33"/>
        </w:numPr>
      </w:pPr>
      <w:r w:rsidRPr="00E54F4B">
        <w:t>Enzyme assay, biochemical, or genetic testing results supporting diagnosis; and</w:t>
      </w:r>
    </w:p>
    <w:p w14:paraId="530F46F7" w14:textId="6A1DEC68" w:rsidR="00191764" w:rsidRPr="00E54F4B" w:rsidRDefault="00191764" w:rsidP="00E54F4B">
      <w:pPr>
        <w:pStyle w:val="ListParagraph"/>
        <w:numPr>
          <w:ilvl w:val="1"/>
          <w:numId w:val="33"/>
        </w:numPr>
      </w:pPr>
      <w:r w:rsidRPr="00E54F4B">
        <w:t>Lab results documenting baseline plasma ammonia levels.</w:t>
      </w:r>
    </w:p>
    <w:p w14:paraId="2180ED6E" w14:textId="01C18E33" w:rsidR="000D2496" w:rsidRDefault="00191764" w:rsidP="00E54F4B">
      <w:pPr>
        <w:pStyle w:val="ListParagraph"/>
        <w:numPr>
          <w:ilvl w:val="0"/>
          <w:numId w:val="32"/>
        </w:numPr>
      </w:pPr>
      <w:r w:rsidRPr="00E54F4B">
        <w:t>Continuation of therapy requests: lab results documenting a reduction in plasma ammonia levels from baseline.</w:t>
      </w:r>
    </w:p>
    <w:p w14:paraId="4B3EBDEA" w14:textId="72F772D2" w:rsidR="00B45003" w:rsidRPr="00095D21" w:rsidRDefault="00B45003" w:rsidP="00B45003">
      <w:pPr>
        <w:pStyle w:val="Heading2"/>
      </w:pPr>
      <w:bookmarkStart w:id="0" w:name="_Hlk182554198"/>
      <w:r w:rsidRPr="00095D21">
        <w:t>Prescriber Specialties</w:t>
      </w:r>
    </w:p>
    <w:p w14:paraId="48A56D67" w14:textId="72F772D2" w:rsidR="00B45003" w:rsidRPr="00E54F4B" w:rsidRDefault="00B45003" w:rsidP="001B3833">
      <w:pPr>
        <w:pStyle w:val="BodyText"/>
      </w:pPr>
      <w:r w:rsidRPr="00095D21">
        <w:t xml:space="preserve">This medication must be prescribed by or in consultation with a physician who specializes in the treatment of </w:t>
      </w:r>
      <w:r>
        <w:t>enzyme or metabolic disorders</w:t>
      </w:r>
      <w:r w:rsidRPr="00095D21">
        <w:t>.</w:t>
      </w:r>
      <w:bookmarkEnd w:id="0"/>
    </w:p>
    <w:p w14:paraId="50A38FBA" w14:textId="559D1CBB" w:rsidR="00FE0C63" w:rsidRPr="00E54F4B" w:rsidRDefault="00685107" w:rsidP="00E050E1">
      <w:pPr>
        <w:pStyle w:val="Heading2"/>
      </w:pPr>
      <w:r w:rsidRPr="00E54F4B">
        <w:t>Coverage Criteria</w:t>
      </w:r>
    </w:p>
    <w:p w14:paraId="209CE487" w14:textId="3F622E97" w:rsidR="00191764" w:rsidRPr="00E54F4B" w:rsidRDefault="00191764" w:rsidP="00E54F4B">
      <w:pPr>
        <w:pStyle w:val="Heading3"/>
      </w:pPr>
      <w:r w:rsidRPr="00E54F4B">
        <w:t xml:space="preserve">Urea </w:t>
      </w:r>
      <w:r w:rsidR="00E54F4B" w:rsidRPr="00E54F4B">
        <w:t xml:space="preserve">Cycle Disorders </w:t>
      </w:r>
      <w:r w:rsidRPr="00E54F4B">
        <w:t>(UCDs)</w:t>
      </w:r>
      <w:r w:rsidRPr="00E54F4B">
        <w:rPr>
          <w:vertAlign w:val="superscript"/>
        </w:rPr>
        <w:t>1-5</w:t>
      </w:r>
    </w:p>
    <w:p w14:paraId="3DF7DA92" w14:textId="77777777" w:rsidR="00191764" w:rsidRPr="00E54F4B" w:rsidRDefault="00191764" w:rsidP="00E54F4B">
      <w:pPr>
        <w:pStyle w:val="BodyText"/>
      </w:pPr>
      <w:r w:rsidRPr="00E54F4B">
        <w:t>Authorization of 12 months may be granted for chronic management of a UCD when both of the following criteria are met:</w:t>
      </w:r>
    </w:p>
    <w:p w14:paraId="6888F079" w14:textId="77777777" w:rsidR="00191764" w:rsidRPr="00E54F4B" w:rsidRDefault="00191764" w:rsidP="00E54F4B">
      <w:pPr>
        <w:pStyle w:val="ListParagraph"/>
        <w:numPr>
          <w:ilvl w:val="0"/>
          <w:numId w:val="35"/>
        </w:numPr>
      </w:pPr>
      <w:r w:rsidRPr="00E54F4B">
        <w:t>The diagnosis is confirmed by enzymatic, biochemical, or genetic testing.</w:t>
      </w:r>
    </w:p>
    <w:p w14:paraId="554B6E8F" w14:textId="687E3F33" w:rsidR="00B836B0" w:rsidRPr="00E54F4B" w:rsidRDefault="00191764" w:rsidP="00E54F4B">
      <w:pPr>
        <w:pStyle w:val="ListParagraph"/>
        <w:numPr>
          <w:ilvl w:val="0"/>
          <w:numId w:val="35"/>
        </w:numPr>
      </w:pPr>
      <w:r w:rsidRPr="00E54F4B">
        <w:t>The member has elevated plasma ammonia levels at baseline.</w:t>
      </w:r>
    </w:p>
    <w:p w14:paraId="3A643EC3" w14:textId="07641D3C" w:rsidR="00A501AC" w:rsidRPr="00E54F4B" w:rsidRDefault="00A501AC" w:rsidP="00A501AC">
      <w:pPr>
        <w:pStyle w:val="Heading2"/>
      </w:pPr>
      <w:r w:rsidRPr="00E54F4B">
        <w:t>Continuation of Therapy</w:t>
      </w:r>
    </w:p>
    <w:p w14:paraId="32C8905D" w14:textId="2D749A6A" w:rsidR="00A501AC" w:rsidRDefault="00B77C4D" w:rsidP="00B77C4D">
      <w:pPr>
        <w:pStyle w:val="BodyText"/>
      </w:pPr>
      <w:r w:rsidRPr="00E54F4B">
        <w:t>Authorization of 12 months may be granted for continued treatment in members requesting reauthorization for an indication listed in the coverage criteria section who are experiencing benefit from therapy as evidenced by a reduction in plasma ammonia levels from baseline.</w:t>
      </w:r>
    </w:p>
    <w:p w14:paraId="10DA4309" w14:textId="26C23E78" w:rsidR="00FF66BF" w:rsidRPr="00E54F4B" w:rsidRDefault="00FF66BF" w:rsidP="00FF66BF">
      <w:pPr>
        <w:pStyle w:val="Heading2"/>
      </w:pPr>
      <w:r w:rsidRPr="00E54F4B">
        <w:t>References</w:t>
      </w:r>
    </w:p>
    <w:p w14:paraId="2E0EE831" w14:textId="04E359DD" w:rsidR="00B77C4D" w:rsidRPr="00E54F4B" w:rsidRDefault="00B77C4D" w:rsidP="00E54F4B">
      <w:pPr>
        <w:pStyle w:val="ReferenceOrdered"/>
      </w:pPr>
      <w:r w:rsidRPr="00E54F4B">
        <w:t>Ravicti [package insert]. Deerfield, IL: Horizon Therapeutics USA, Inc.; September 2021.</w:t>
      </w:r>
    </w:p>
    <w:p w14:paraId="0CEE615E" w14:textId="77777777" w:rsidR="00B77C4D" w:rsidRPr="00E54F4B" w:rsidRDefault="00B77C4D" w:rsidP="00E54F4B">
      <w:pPr>
        <w:pStyle w:val="ReferenceOrdered"/>
      </w:pPr>
      <w:r w:rsidRPr="00E54F4B">
        <w:t xml:space="preserve">Mew NA, </w:t>
      </w:r>
      <w:proofErr w:type="spellStart"/>
      <w:r w:rsidRPr="00E54F4B">
        <w:t>Lanpher</w:t>
      </w:r>
      <w:proofErr w:type="spellEnd"/>
      <w:r w:rsidRPr="00E54F4B">
        <w:t xml:space="preserve"> BC. Urea Cycle Disorders Overview. In: </w:t>
      </w:r>
      <w:proofErr w:type="spellStart"/>
      <w:r w:rsidRPr="00E54F4B">
        <w:t>Pagon</w:t>
      </w:r>
      <w:proofErr w:type="spellEnd"/>
      <w:r w:rsidRPr="00E54F4B">
        <w:t xml:space="preserve"> RA, Adam MP, </w:t>
      </w:r>
      <w:proofErr w:type="spellStart"/>
      <w:r w:rsidRPr="00E54F4B">
        <w:t>Ardinger</w:t>
      </w:r>
      <w:proofErr w:type="spellEnd"/>
      <w:r w:rsidRPr="00E54F4B">
        <w:t xml:space="preserve"> HH, et. al., editors. </w:t>
      </w:r>
      <w:proofErr w:type="spellStart"/>
      <w:r w:rsidRPr="00E54F4B">
        <w:t>GeneReviews</w:t>
      </w:r>
      <w:proofErr w:type="spellEnd"/>
      <w:r w:rsidRPr="00E54F4B">
        <w:t>® [Internet]. Seattle (WA): University of Washington, Seattle; 1993-2017 [updated June 22, 2017]. Available at:  https://www.ncbi.nlm.nih.gov/books/NBK1217/?report=printable.</w:t>
      </w:r>
    </w:p>
    <w:p w14:paraId="301A0427" w14:textId="77777777" w:rsidR="00B77C4D" w:rsidRPr="00E54F4B" w:rsidRDefault="00B77C4D" w:rsidP="00E54F4B">
      <w:pPr>
        <w:pStyle w:val="ReferenceOrdered"/>
      </w:pPr>
      <w:proofErr w:type="spellStart"/>
      <w:r w:rsidRPr="00E54F4B">
        <w:t>Häberle</w:t>
      </w:r>
      <w:proofErr w:type="spellEnd"/>
      <w:r w:rsidRPr="00E54F4B">
        <w:t xml:space="preserve"> J, </w:t>
      </w:r>
      <w:proofErr w:type="spellStart"/>
      <w:r w:rsidRPr="00E54F4B">
        <w:t>Boddaert</w:t>
      </w:r>
      <w:proofErr w:type="spellEnd"/>
      <w:r w:rsidRPr="00E54F4B">
        <w:t xml:space="preserve"> N, </w:t>
      </w:r>
      <w:proofErr w:type="spellStart"/>
      <w:r w:rsidRPr="00E54F4B">
        <w:t>Burlina</w:t>
      </w:r>
      <w:proofErr w:type="spellEnd"/>
      <w:r w:rsidRPr="00E54F4B">
        <w:t xml:space="preserve"> A, et al. Suggested guidelines for the diagnosis and management of urea cycle disorders. J Inherit </w:t>
      </w:r>
      <w:proofErr w:type="spellStart"/>
      <w:r w:rsidRPr="00E54F4B">
        <w:t>Metab</w:t>
      </w:r>
      <w:proofErr w:type="spellEnd"/>
      <w:r w:rsidRPr="00E54F4B">
        <w:t xml:space="preserve"> Dis. 2019;42(6):1192-1230.</w:t>
      </w:r>
    </w:p>
    <w:p w14:paraId="711E1E10" w14:textId="77777777" w:rsidR="00B77C4D" w:rsidRPr="00E54F4B" w:rsidRDefault="00B77C4D" w:rsidP="00E54F4B">
      <w:pPr>
        <w:pStyle w:val="ReferenceOrdered"/>
      </w:pPr>
      <w:r w:rsidRPr="00E54F4B">
        <w:lastRenderedPageBreak/>
        <w:t xml:space="preserve">Diaz GA, </w:t>
      </w:r>
      <w:proofErr w:type="spellStart"/>
      <w:r w:rsidRPr="00E54F4B">
        <w:t>Krivitzky</w:t>
      </w:r>
      <w:proofErr w:type="spellEnd"/>
      <w:r w:rsidRPr="00E54F4B">
        <w:t xml:space="preserve"> LS, </w:t>
      </w:r>
      <w:proofErr w:type="spellStart"/>
      <w:r w:rsidRPr="00E54F4B">
        <w:t>Mokhtarani</w:t>
      </w:r>
      <w:proofErr w:type="spellEnd"/>
      <w:r w:rsidRPr="00E54F4B">
        <w:t xml:space="preserve"> M, et al. Ammonia control and neurocognitive outcome among urea cycle disorder patients treated with glycerol phenylbutyrate. Hepatology. 2013;57(6):2171-2179.</w:t>
      </w:r>
    </w:p>
    <w:p w14:paraId="5C58E16E" w14:textId="77777777" w:rsidR="000767AE" w:rsidRPr="00E54F4B" w:rsidRDefault="00B77C4D" w:rsidP="00E54F4B">
      <w:pPr>
        <w:pStyle w:val="ReferenceOrdered"/>
      </w:pPr>
      <w:r w:rsidRPr="00E54F4B">
        <w:t xml:space="preserve">Smith W, Diaz GA, </w:t>
      </w:r>
      <w:proofErr w:type="spellStart"/>
      <w:r w:rsidRPr="00E54F4B">
        <w:t>Lichter-Konecki</w:t>
      </w:r>
      <w:proofErr w:type="spellEnd"/>
      <w:r w:rsidRPr="00E54F4B">
        <w:t xml:space="preserve"> U, et al. Ammonia control in children ages 2 months through 5 years with urea cycle disorders: comparison of sodium phenylbutyrate and glycerol phenylbutyrate. J </w:t>
      </w:r>
      <w:proofErr w:type="spellStart"/>
      <w:r w:rsidRPr="00E54F4B">
        <w:t>Pediatr</w:t>
      </w:r>
      <w:proofErr w:type="spellEnd"/>
      <w:r w:rsidRPr="00E54F4B">
        <w:t>. 2013;162(6):1228-1234.</w:t>
      </w:r>
    </w:p>
    <w:sectPr w:rsidR="000767AE" w:rsidRPr="00E54F4B"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07E30" w14:textId="77777777" w:rsidR="003877F3" w:rsidRDefault="003877F3">
      <w:r>
        <w:separator/>
      </w:r>
    </w:p>
  </w:endnote>
  <w:endnote w:type="continuationSeparator" w:id="0">
    <w:p w14:paraId="75CCFDC4" w14:textId="77777777" w:rsidR="003877F3" w:rsidRDefault="003877F3">
      <w:r>
        <w:continuationSeparator/>
      </w:r>
    </w:p>
  </w:endnote>
  <w:endnote w:type="continuationNotice" w:id="1">
    <w:p w14:paraId="5C11670C" w14:textId="77777777" w:rsidR="003877F3" w:rsidRDefault="003877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3E3038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B46CA" w:rsidRPr="001B46CA">
      <w:rPr>
        <w:rFonts w:cs="Arial"/>
        <w:noProof/>
        <w:sz w:val="16"/>
        <w:szCs w:val="16"/>
      </w:rPr>
      <w:t>Ravicti</w:t>
    </w:r>
    <w:r w:rsidR="001B46CA">
      <w:rPr>
        <w:rFonts w:cs="Arial"/>
        <w:noProof/>
        <w:snapToGrid w:val="0"/>
        <w:color w:val="000000"/>
        <w:sz w:val="16"/>
        <w:szCs w:val="16"/>
      </w:rPr>
      <w:t xml:space="preserve"> SGM 2123-A</w:t>
    </w:r>
    <w:r w:rsidR="001B46CA" w:rsidRPr="001B46CA">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B45003" w:rsidRPr="00EC47B6">
      <w:rPr>
        <w:rFonts w:cs="Arial"/>
        <w:snapToGrid w:val="0"/>
        <w:color w:val="000000"/>
        <w:sz w:val="16"/>
      </w:rPr>
      <w:t>202</w:t>
    </w:r>
    <w:r w:rsidR="00B45003">
      <w:rPr>
        <w:rFonts w:cs="Arial"/>
        <w:snapToGrid w:val="0"/>
        <w:color w:val="000000"/>
        <w:sz w:val="16"/>
      </w:rPr>
      <w:t>5</w:t>
    </w:r>
    <w:r w:rsidR="00B45003"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20FB25B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1799C2F" w:rsidR="00F75C81" w:rsidRPr="00AA1E6A" w:rsidRDefault="00C36B72" w:rsidP="0031210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AFBEBA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B46CA" w:rsidRPr="001B46CA">
      <w:rPr>
        <w:rFonts w:cs="Arial"/>
        <w:noProof/>
        <w:sz w:val="16"/>
        <w:szCs w:val="16"/>
      </w:rPr>
      <w:t>Ravicti</w:t>
    </w:r>
    <w:r w:rsidR="001B46CA">
      <w:rPr>
        <w:rFonts w:cs="Arial"/>
        <w:noProof/>
        <w:snapToGrid w:val="0"/>
        <w:color w:val="000000"/>
        <w:sz w:val="16"/>
        <w:szCs w:val="16"/>
      </w:rPr>
      <w:t xml:space="preserve"> SGM 2123-A</w:t>
    </w:r>
    <w:r w:rsidR="001B46CA" w:rsidRPr="001B46CA">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B45003" w:rsidRPr="00EC47B6">
      <w:rPr>
        <w:rFonts w:cs="Arial"/>
        <w:snapToGrid w:val="0"/>
        <w:color w:val="000000"/>
        <w:sz w:val="16"/>
      </w:rPr>
      <w:t>202</w:t>
    </w:r>
    <w:r w:rsidR="00B45003">
      <w:rPr>
        <w:rFonts w:cs="Arial"/>
        <w:snapToGrid w:val="0"/>
        <w:color w:val="000000"/>
        <w:sz w:val="16"/>
      </w:rPr>
      <w:t>5</w:t>
    </w:r>
    <w:r w:rsidR="00B45003"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5DE29A5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243F74A" w:rsidR="00ED04EC" w:rsidRPr="00F50D98" w:rsidRDefault="00F50D98" w:rsidP="0031210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12A36" w14:textId="77777777" w:rsidR="003877F3" w:rsidRDefault="003877F3">
      <w:r>
        <w:separator/>
      </w:r>
    </w:p>
  </w:footnote>
  <w:footnote w:type="continuationSeparator" w:id="0">
    <w:p w14:paraId="6D105136" w14:textId="77777777" w:rsidR="003877F3" w:rsidRDefault="003877F3">
      <w:r>
        <w:continuationSeparator/>
      </w:r>
    </w:p>
  </w:footnote>
  <w:footnote w:type="continuationNotice" w:id="1">
    <w:p w14:paraId="2F01C7DE" w14:textId="77777777" w:rsidR="003877F3" w:rsidRDefault="003877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E54F4B" w:rsidRDefault="00ED04EC" w:rsidP="00ED04EC">
          <w:pPr>
            <w:pStyle w:val="Header"/>
            <w:rPr>
              <w:rFonts w:cs="Arial"/>
              <w:sz w:val="16"/>
              <w:szCs w:val="16"/>
            </w:rPr>
          </w:pPr>
          <w:r w:rsidRPr="00E54F4B">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2BF4A1F" w:rsidR="00ED04EC" w:rsidRPr="00E54F4B" w:rsidRDefault="00ED02E8" w:rsidP="00ED04EC">
          <w:pPr>
            <w:pStyle w:val="Header"/>
            <w:rPr>
              <w:rFonts w:cs="Arial"/>
              <w:sz w:val="16"/>
              <w:szCs w:val="16"/>
            </w:rPr>
          </w:pPr>
          <w:r w:rsidRPr="00E54F4B">
            <w:rPr>
              <w:rFonts w:cs="Arial"/>
              <w:sz w:val="16"/>
              <w:szCs w:val="16"/>
            </w:rPr>
            <w:t>2123-A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412174A1" w:rsidR="000F5383" w:rsidRPr="00FF66BF" w:rsidRDefault="00E54F4B" w:rsidP="009E1F57">
          <w:pPr>
            <w:pStyle w:val="RefTableHeader"/>
          </w:pPr>
          <w:r w:rsidRPr="00E54F4B">
            <w:t>2123-A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12C"/>
    <w:multiLevelType w:val="hybridMultilevel"/>
    <w:tmpl w:val="839ED11A"/>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A022F4"/>
    <w:multiLevelType w:val="hybridMultilevel"/>
    <w:tmpl w:val="5074C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135659"/>
    <w:multiLevelType w:val="hybridMultilevel"/>
    <w:tmpl w:val="A294B898"/>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0D4C4795"/>
    <w:multiLevelType w:val="hybridMultilevel"/>
    <w:tmpl w:val="DBE44FF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B2900C0"/>
    <w:multiLevelType w:val="hybridMultilevel"/>
    <w:tmpl w:val="C8726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1F5745"/>
    <w:multiLevelType w:val="hybridMultilevel"/>
    <w:tmpl w:val="555C03C2"/>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A974AC"/>
    <w:multiLevelType w:val="hybridMultilevel"/>
    <w:tmpl w:val="83F4906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E5AE9"/>
    <w:multiLevelType w:val="hybridMultilevel"/>
    <w:tmpl w:val="9B00BD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31"/>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1"/>
  </w:num>
  <w:num w:numId="16" w16cid:durableId="898320195">
    <w:abstractNumId w:val="21"/>
  </w:num>
  <w:num w:numId="17" w16cid:durableId="2128498676">
    <w:abstractNumId w:val="33"/>
  </w:num>
  <w:num w:numId="18" w16cid:durableId="299724409">
    <w:abstractNumId w:val="28"/>
  </w:num>
  <w:num w:numId="19" w16cid:durableId="214585573">
    <w:abstractNumId w:val="17"/>
  </w:num>
  <w:num w:numId="20" w16cid:durableId="1289816170">
    <w:abstractNumId w:val="18"/>
  </w:num>
  <w:num w:numId="21" w16cid:durableId="1066490929">
    <w:abstractNumId w:val="34"/>
  </w:num>
  <w:num w:numId="22" w16cid:durableId="1472481103">
    <w:abstractNumId w:val="30"/>
  </w:num>
  <w:num w:numId="23" w16cid:durableId="1997420403">
    <w:abstractNumId w:val="32"/>
  </w:num>
  <w:num w:numId="24" w16cid:durableId="33312838">
    <w:abstractNumId w:val="29"/>
  </w:num>
  <w:num w:numId="25" w16cid:durableId="507404939">
    <w:abstractNumId w:val="20"/>
  </w:num>
  <w:num w:numId="26" w16cid:durableId="1950313333">
    <w:abstractNumId w:val="25"/>
  </w:num>
  <w:num w:numId="27" w16cid:durableId="1866016584">
    <w:abstractNumId w:val="24"/>
  </w:num>
  <w:num w:numId="28" w16cid:durableId="1422943398">
    <w:abstractNumId w:val="12"/>
  </w:num>
  <w:num w:numId="29" w16cid:durableId="1336105354">
    <w:abstractNumId w:val="13"/>
  </w:num>
  <w:num w:numId="30" w16cid:durableId="1136796480">
    <w:abstractNumId w:val="14"/>
  </w:num>
  <w:num w:numId="31" w16cid:durableId="2051415309">
    <w:abstractNumId w:val="10"/>
  </w:num>
  <w:num w:numId="32" w16cid:durableId="1693801041">
    <w:abstractNumId w:val="19"/>
  </w:num>
  <w:num w:numId="33" w16cid:durableId="857696561">
    <w:abstractNumId w:val="23"/>
  </w:num>
  <w:num w:numId="34" w16cid:durableId="703595664">
    <w:abstractNumId w:val="22"/>
  </w:num>
  <w:num w:numId="35" w16cid:durableId="1546022871">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D49"/>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3CB4"/>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1AF"/>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13E"/>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5B12"/>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764"/>
    <w:rsid w:val="00191904"/>
    <w:rsid w:val="00192769"/>
    <w:rsid w:val="001933EE"/>
    <w:rsid w:val="00193696"/>
    <w:rsid w:val="001944B7"/>
    <w:rsid w:val="0019677F"/>
    <w:rsid w:val="00196A2C"/>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3833"/>
    <w:rsid w:val="001B459A"/>
    <w:rsid w:val="001B46C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C1F"/>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342"/>
    <w:rsid w:val="0024185D"/>
    <w:rsid w:val="002423DE"/>
    <w:rsid w:val="00242E29"/>
    <w:rsid w:val="00242F54"/>
    <w:rsid w:val="00243017"/>
    <w:rsid w:val="0024305D"/>
    <w:rsid w:val="00244442"/>
    <w:rsid w:val="0024498F"/>
    <w:rsid w:val="00247014"/>
    <w:rsid w:val="002471BE"/>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AAC"/>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E4B"/>
    <w:rsid w:val="002D49E5"/>
    <w:rsid w:val="002D6257"/>
    <w:rsid w:val="002D6987"/>
    <w:rsid w:val="002E030E"/>
    <w:rsid w:val="002E06B0"/>
    <w:rsid w:val="002E15A0"/>
    <w:rsid w:val="002E1D9A"/>
    <w:rsid w:val="002E254D"/>
    <w:rsid w:val="002E362E"/>
    <w:rsid w:val="002E3C61"/>
    <w:rsid w:val="002E3D87"/>
    <w:rsid w:val="002E5547"/>
    <w:rsid w:val="002E5C63"/>
    <w:rsid w:val="002E6AE1"/>
    <w:rsid w:val="002E7264"/>
    <w:rsid w:val="002F1388"/>
    <w:rsid w:val="002F23BB"/>
    <w:rsid w:val="002F2822"/>
    <w:rsid w:val="002F2EBB"/>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100"/>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153"/>
    <w:rsid w:val="00381B05"/>
    <w:rsid w:val="00381B16"/>
    <w:rsid w:val="0038248C"/>
    <w:rsid w:val="00382C29"/>
    <w:rsid w:val="00382C85"/>
    <w:rsid w:val="0038309E"/>
    <w:rsid w:val="00384D85"/>
    <w:rsid w:val="00385611"/>
    <w:rsid w:val="0038594B"/>
    <w:rsid w:val="00385C81"/>
    <w:rsid w:val="00386F82"/>
    <w:rsid w:val="003877F3"/>
    <w:rsid w:val="0039012A"/>
    <w:rsid w:val="003904B1"/>
    <w:rsid w:val="00390BD4"/>
    <w:rsid w:val="00391311"/>
    <w:rsid w:val="003915B9"/>
    <w:rsid w:val="0039194A"/>
    <w:rsid w:val="00391A39"/>
    <w:rsid w:val="00391F5A"/>
    <w:rsid w:val="003936BB"/>
    <w:rsid w:val="00393961"/>
    <w:rsid w:val="00394467"/>
    <w:rsid w:val="0039542F"/>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0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5C2"/>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BE2"/>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554A"/>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552"/>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3544"/>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90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7486"/>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351"/>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00B"/>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7A3"/>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B70"/>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17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24B"/>
    <w:rsid w:val="00B43D43"/>
    <w:rsid w:val="00B4500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1BE"/>
    <w:rsid w:val="00B54526"/>
    <w:rsid w:val="00B54B31"/>
    <w:rsid w:val="00B55FE1"/>
    <w:rsid w:val="00B569FC"/>
    <w:rsid w:val="00B57430"/>
    <w:rsid w:val="00B574C8"/>
    <w:rsid w:val="00B57C0E"/>
    <w:rsid w:val="00B602FB"/>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77C4D"/>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6AD2"/>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77FCC"/>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6F75"/>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1CE"/>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2B3"/>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AF7"/>
    <w:rsid w:val="00E45C1A"/>
    <w:rsid w:val="00E4640D"/>
    <w:rsid w:val="00E46738"/>
    <w:rsid w:val="00E46A0A"/>
    <w:rsid w:val="00E47A32"/>
    <w:rsid w:val="00E5021D"/>
    <w:rsid w:val="00E521C7"/>
    <w:rsid w:val="00E525F8"/>
    <w:rsid w:val="00E52B34"/>
    <w:rsid w:val="00E53F83"/>
    <w:rsid w:val="00E54271"/>
    <w:rsid w:val="00E54F4B"/>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86A"/>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E8"/>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803"/>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327194"/>
    <w:rsid w:val="62C780E2"/>
    <w:rsid w:val="6D1DC6A4"/>
    <w:rsid w:val="7049C399"/>
    <w:rsid w:val="786E97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0629810">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1308424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086174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0426">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68374002">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53B3B-8F8D-45FE-8A70-43DDBAD83E53}"/>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7757c461-07c7-44e1-99a5-77c6cc8be592"/>
    <ds:schemaRef ds:uri="http://schemas.microsoft.com/sharepoint/v4"/>
    <ds:schemaRef ds:uri="http://purl.org/dc/terms/"/>
    <ds:schemaRef ds:uri="eb403b6b-7b96-4fe7-afcc-b3d44ddfb7d8"/>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465</Words>
  <Characters>2901</Characters>
  <Application>Microsoft Office Word</Application>
  <DocSecurity>0</DocSecurity>
  <Lines>64</Lines>
  <Paragraphs>50</Paragraphs>
  <ScaleCrop>false</ScaleCrop>
  <HeadingPairs>
    <vt:vector size="2" baseType="variant">
      <vt:variant>
        <vt:lpstr>Title</vt:lpstr>
      </vt:variant>
      <vt:variant>
        <vt:i4>1</vt:i4>
      </vt:variant>
    </vt:vector>
  </HeadingPairs>
  <TitlesOfParts>
    <vt:vector size="1" baseType="lpstr">
      <vt:lpstr>Ravicti 2123-A SGM 2024</vt:lpstr>
    </vt:vector>
  </TitlesOfParts>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Ravicti SGM 2123-A</dc:title>
  <dc:subject>Ravicti SGM 2123-A</dc:subject>
  <dc:creator>CVS Caremark</dc:creator>
  <cp:keywords/>
  <cp:lastModifiedBy>Ortiz, Erica M</cp:lastModifiedBy>
  <cp:revision>3</cp:revision>
  <cp:lastPrinted>2018-01-09T08:01:00Z</cp:lastPrinted>
  <dcterms:created xsi:type="dcterms:W3CDTF">2025-02-28T17:51:00Z</dcterms:created>
  <dcterms:modified xsi:type="dcterms:W3CDTF">2025-02-28T17:52:00Z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1141600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